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wordWrap w:val="0"/>
        <w:spacing w:line="640" w:lineRule="atLeast"/>
        <w:ind w:firstLine="600"/>
        <w:jc w:val="center"/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大姚县20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</w:rPr>
        <w:t>年政府采购支出</w:t>
      </w:r>
      <w:r>
        <w:rPr>
          <w:rFonts w:hint="eastAsia" w:ascii="方正小标宋简体" w:hAnsi="方正小标宋简体" w:eastAsia="方正小标宋简体" w:cs="方正小标宋简体"/>
          <w:color w:val="333333"/>
          <w:kern w:val="0"/>
          <w:sz w:val="44"/>
          <w:szCs w:val="44"/>
          <w:lang w:eastAsia="zh-CN"/>
        </w:rPr>
        <w:t>及国有资产占用情况说明</w:t>
      </w:r>
    </w:p>
    <w:p>
      <w:pPr>
        <w:spacing w:beforeLines="0" w:afterLines="0" w:line="590" w:lineRule="exact"/>
        <w:ind w:firstLine="600"/>
        <w:jc w:val="left"/>
        <w:rPr>
          <w:rFonts w:hint="default" w:ascii="Times New Roman" w:hAnsi="Times New Roman" w:eastAsia="Times New Roman"/>
          <w:color w:val="auto"/>
          <w:sz w:val="30"/>
          <w:szCs w:val="24"/>
          <w:lang w:val="en-US"/>
        </w:rPr>
      </w:pPr>
      <w:r>
        <w:rPr>
          <w:rFonts w:hint="eastAsia" w:ascii="黑体" w:hAnsi="黑体" w:eastAsia="黑体"/>
          <w:color w:val="auto"/>
          <w:sz w:val="30"/>
          <w:szCs w:val="24"/>
          <w:lang w:val="en-US" w:eastAsia="zh-CN"/>
        </w:rPr>
        <w:t>一、</w:t>
      </w:r>
      <w:r>
        <w:rPr>
          <w:rFonts w:hint="eastAsia" w:ascii="黑体" w:hAnsi="黑体" w:eastAsia="黑体"/>
          <w:color w:val="auto"/>
          <w:sz w:val="30"/>
          <w:szCs w:val="24"/>
          <w:lang w:val="en-US"/>
        </w:rPr>
        <w:t>政府采购支出情况</w:t>
      </w:r>
    </w:p>
    <w:p>
      <w:pPr>
        <w:spacing w:beforeLines="0" w:afterLines="0" w:line="590" w:lineRule="exact"/>
        <w:ind w:firstLine="640" w:firstLineChars="200"/>
        <w:jc w:val="left"/>
        <w:rPr>
          <w:rFonts w:hint="default" w:ascii="仿宋" w:hAnsi="仿宋" w:eastAsia="仿宋"/>
          <w:color w:val="auto"/>
          <w:sz w:val="30"/>
          <w:szCs w:val="24"/>
          <w:highlight w:val="none"/>
          <w:lang w:val="en-US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年度，</w:t>
      </w:r>
      <w:r>
        <w:rPr>
          <w:rFonts w:hint="eastAsia" w:ascii="仿宋" w:hAnsi="仿宋" w:eastAsia="仿宋"/>
          <w:color w:val="auto"/>
          <w:sz w:val="30"/>
          <w:szCs w:val="24"/>
          <w:lang w:val="en-US" w:eastAsia="zh-CN"/>
        </w:rPr>
        <w:t>大姚县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政府采购支出总额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653.09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万元，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较上年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4638.92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万元减少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3985.83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万元，下降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85.92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。其中：政府采购货物支出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585.53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万元</w:t>
      </w:r>
      <w:r>
        <w:rPr>
          <w:rFonts w:hint="eastAsia" w:ascii="仿宋" w:hAnsi="仿宋" w:eastAsia="仿宋"/>
          <w:color w:val="auto"/>
          <w:sz w:val="30"/>
          <w:szCs w:val="24"/>
          <w:lang w:val="en-US" w:eastAsia="zh-CN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较上年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2967.78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万元减少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2382.25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万元，下降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80.27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；政府采购工程支出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67.56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万元</w:t>
      </w:r>
      <w:r>
        <w:rPr>
          <w:rFonts w:hint="eastAsia" w:ascii="仿宋" w:hAnsi="仿宋" w:eastAsia="仿宋"/>
          <w:color w:val="auto"/>
          <w:sz w:val="30"/>
          <w:szCs w:val="24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较上年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30.33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eastAsia="zh-CN"/>
        </w:rPr>
        <w:t>增加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37.23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eastAsia="zh-CN"/>
        </w:rPr>
        <w:t>增长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122.75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%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；政府采购服务</w:t>
      </w:r>
      <w:bookmarkStart w:id="0" w:name="_GoBack"/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支</w:t>
      </w:r>
      <w:bookmarkEnd w:id="0"/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出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万元。授予中小企业合同金额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165.87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万元，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较上年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4638.92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万元减少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4473.05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</w:rPr>
        <w:t>万元，下降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96.42%，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占政府采购支出总额的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25.40%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。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2020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年度，</w:t>
      </w:r>
      <w:r>
        <w:rPr>
          <w:rFonts w:hint="eastAsia" w:ascii="仿宋" w:hAnsi="仿宋" w:eastAsia="仿宋"/>
          <w:color w:val="auto"/>
          <w:sz w:val="30"/>
          <w:szCs w:val="24"/>
          <w:lang w:val="en-US" w:eastAsia="zh-CN"/>
        </w:rPr>
        <w:t>大姚县</w:t>
      </w:r>
      <w:r>
        <w:rPr>
          <w:rFonts w:hint="eastAsia" w:ascii="仿宋" w:hAnsi="仿宋" w:eastAsia="仿宋"/>
          <w:color w:val="auto"/>
          <w:sz w:val="30"/>
          <w:szCs w:val="24"/>
          <w:lang w:val="en-US"/>
        </w:rPr>
        <w:t>政府采购支出总额</w:t>
      </w:r>
      <w:r>
        <w:rPr>
          <w:rFonts w:hint="eastAsia" w:ascii="仿宋" w:hAnsi="仿宋" w:eastAsia="仿宋"/>
          <w:color w:val="auto"/>
          <w:sz w:val="30"/>
          <w:szCs w:val="24"/>
          <w:lang w:val="en-US" w:eastAsia="zh-CN"/>
        </w:rPr>
        <w:t>下降幅度较大的主要原因一是政府采购系统新上线</w:t>
      </w:r>
      <w:r>
        <w:rPr>
          <w:rFonts w:hint="eastAsia" w:ascii="仿宋" w:hAnsi="仿宋" w:eastAsia="仿宋"/>
          <w:color w:val="auto"/>
          <w:sz w:val="30"/>
          <w:szCs w:val="24"/>
          <w:highlight w:val="none"/>
          <w:lang w:val="en-US" w:eastAsia="zh-CN"/>
        </w:rPr>
        <w:t>，各单位的业务水平参差不齐，导致部分单位政府采购手续已办理但未录入系统；二是我县加大对政府采购的监管力度，在招标时以最优价格中标，节约了项目采购成本。</w:t>
      </w:r>
    </w:p>
    <w:p>
      <w:pPr>
        <w:spacing w:beforeLines="0" w:afterLines="0" w:line="590" w:lineRule="exact"/>
        <w:ind w:firstLine="600" w:firstLineChars="200"/>
        <w:jc w:val="left"/>
        <w:rPr>
          <w:rFonts w:hint="default" w:ascii="Times New Roman" w:hAnsi="Times New Roman" w:eastAsia="Times New Roman"/>
          <w:color w:val="auto"/>
          <w:sz w:val="30"/>
          <w:szCs w:val="24"/>
          <w:highlight w:val="none"/>
        </w:rPr>
      </w:pPr>
      <w:r>
        <w:rPr>
          <w:rFonts w:hint="eastAsia" w:ascii="黑体" w:hAnsi="黑体" w:eastAsia="黑体"/>
          <w:color w:val="auto"/>
          <w:sz w:val="30"/>
          <w:szCs w:val="24"/>
          <w:highlight w:val="none"/>
        </w:rPr>
        <w:t>二、</w:t>
      </w:r>
      <w:r>
        <w:rPr>
          <w:rFonts w:hint="eastAsia" w:ascii="黑体" w:hAnsi="黑体" w:eastAsia="黑体"/>
          <w:color w:val="000000"/>
          <w:kern w:val="0"/>
          <w:sz w:val="30"/>
          <w:szCs w:val="24"/>
          <w:highlight w:val="none"/>
        </w:rPr>
        <w:t>国有资产占用情况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截至2020年12月31日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，</w:t>
      </w:r>
      <w:r>
        <w:rPr>
          <w:rFonts w:hint="eastAsia" w:ascii="方正仿宋简体" w:hAnsi="方正仿宋简体" w:eastAsia="方正仿宋简体" w:cs="方正仿宋简体"/>
          <w:color w:val="333333"/>
          <w:kern w:val="0"/>
          <w:sz w:val="32"/>
          <w:szCs w:val="32"/>
          <w:lang w:val="en-US" w:eastAsia="zh-CN"/>
        </w:rPr>
        <w:t>大姚县资产总额443,570.93万元，较上年2432854.4万元增加200286.53万元，增长82.33%。其中，流动资产129,546.43万元，较上年155610.23万元减少26063.80万元，下降16.75%;固定资产85,367.20万元，较上年74418.62万元增加10948.58万元，增长14.71%;对外投资及有价证券0万元;在建工程12,602.88万元，较上年12154.33万元增加448.55万元，增长3.69%；无形资产744.61万元，较上年658.77万元增加85.84万元，增长13.03%；其他资产215309.81万元（具体内容详见附表）。处置房屋建筑物36,229.69平方米，账面原值3,103.02万元；处置车辆45辆，账面原值703.37万元；报废报损资产0项，账面原值0万元；实现资产处置收入15,944.02万元；出租出借房屋9,204.18平方米，账面原值0万元，实现资产使用收入0万元，主要原因是出租出借合同期限是2年，于2019年以前已缴入国库，本年无资产使用收入。</w:t>
      </w:r>
    </w:p>
    <w:p>
      <w:pPr>
        <w:jc w:val="center"/>
        <w:rPr>
          <w:rFonts w:hint="eastAsia" w:ascii="宋体" w:hAnsi="宋体" w:eastAsia="仿宋_GB2312" w:cs="方正小标宋_GBK"/>
          <w:b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eastAsia="仿宋_GB2312" w:cs="方正小标宋_GBK"/>
          <w:b/>
          <w:color w:val="000000"/>
          <w:kern w:val="0"/>
          <w:sz w:val="30"/>
          <w:szCs w:val="30"/>
          <w:lang w:bidi="ar"/>
        </w:rPr>
        <w:t>国有资产占有使用情况表</w:t>
      </w:r>
    </w:p>
    <w:p>
      <w:pPr>
        <w:jc w:val="right"/>
        <w:rPr>
          <w:rFonts w:hint="eastAsia" w:ascii="宋体" w:hAnsi="宋体" w:eastAsia="仿宋_GB2312"/>
          <w:spacing w:val="-6"/>
          <w:sz w:val="22"/>
          <w:szCs w:val="24"/>
        </w:rPr>
      </w:pPr>
      <w:r>
        <w:rPr>
          <w:rFonts w:hint="eastAsia" w:ascii="宋体" w:hAnsi="宋体" w:eastAsia="方正仿宋_GBK"/>
          <w:sz w:val="22"/>
          <w:szCs w:val="24"/>
        </w:rPr>
        <w:t>单位：</w:t>
      </w:r>
      <w:r>
        <w:rPr>
          <w:rFonts w:hint="eastAsia" w:ascii="宋体" w:hAnsi="宋体" w:eastAsia="方正仿宋_GBK"/>
          <w:sz w:val="22"/>
          <w:szCs w:val="24"/>
          <w:lang w:eastAsia="zh-CN"/>
        </w:rPr>
        <w:t>万</w:t>
      </w:r>
      <w:r>
        <w:rPr>
          <w:rFonts w:hint="eastAsia" w:ascii="宋体" w:hAnsi="宋体" w:eastAsia="方正仿宋_GBK"/>
          <w:sz w:val="22"/>
          <w:szCs w:val="24"/>
        </w:rPr>
        <w:t>元</w:t>
      </w:r>
    </w:p>
    <w:tbl>
      <w:tblPr>
        <w:tblStyle w:val="6"/>
        <w:tblW w:w="105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7"/>
        <w:gridCol w:w="524"/>
        <w:gridCol w:w="973"/>
        <w:gridCol w:w="899"/>
        <w:gridCol w:w="795"/>
        <w:gridCol w:w="840"/>
        <w:gridCol w:w="780"/>
        <w:gridCol w:w="600"/>
        <w:gridCol w:w="1275"/>
        <w:gridCol w:w="555"/>
        <w:gridCol w:w="990"/>
        <w:gridCol w:w="6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项目</w:t>
            </w:r>
          </w:p>
        </w:tc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行次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资产总额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流动资产</w:t>
            </w:r>
          </w:p>
        </w:tc>
        <w:tc>
          <w:tcPr>
            <w:tcW w:w="42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固定资产</w:t>
            </w:r>
          </w:p>
        </w:tc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pacing w:val="-10"/>
                <w:sz w:val="24"/>
                <w:szCs w:val="24"/>
              </w:rPr>
              <w:t>对外投资/有价证券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在建工程</w:t>
            </w:r>
          </w:p>
        </w:tc>
        <w:tc>
          <w:tcPr>
            <w:tcW w:w="6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无形资产</w:t>
            </w:r>
          </w:p>
        </w:tc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其他资产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小计</w:t>
            </w:r>
          </w:p>
        </w:tc>
        <w:tc>
          <w:tcPr>
            <w:tcW w:w="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房屋构筑物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车辆</w:t>
            </w:r>
          </w:p>
        </w:tc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ind w:left="2" w:leftChars="1"/>
              <w:jc w:val="center"/>
              <w:rPr>
                <w:rFonts w:hint="eastAsia" w:ascii="宋体" w:hAnsi="宋体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pacing w:val="-10"/>
                <w:sz w:val="24"/>
                <w:szCs w:val="24"/>
              </w:rPr>
              <w:t>单价200万以上大型设备</w:t>
            </w:r>
          </w:p>
        </w:tc>
        <w:tc>
          <w:tcPr>
            <w:tcW w:w="12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其他固定资产</w:t>
            </w: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  <w:jc w:val="center"/>
        </w:trPr>
        <w:tc>
          <w:tcPr>
            <w:tcW w:w="6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12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栏次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4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5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7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8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9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10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6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合计</w:t>
            </w:r>
          </w:p>
        </w:tc>
        <w:tc>
          <w:tcPr>
            <w:tcW w:w="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4"/>
                <w:szCs w:val="24"/>
              </w:rPr>
            </w:pPr>
            <w:r>
              <w:rPr>
                <w:rFonts w:hint="eastAsia" w:ascii="宋体" w:hAnsi="宋体" w:eastAsia="方正仿宋_GBK" w:cs="Times New Roman"/>
                <w:sz w:val="24"/>
                <w:szCs w:val="24"/>
              </w:rPr>
              <w:t>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  <w:t>443,570.93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  <w:t>129,546.43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</w:rPr>
              <w:t>85,367.20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  <w:t>64,524.16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rPr>
                <w:rFonts w:hint="default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  <w:t>1,706.51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pacing w:val="-20"/>
                <w:sz w:val="20"/>
                <w:szCs w:val="20"/>
                <w:lang w:val="en-US" w:eastAsia="zh-CN"/>
              </w:rPr>
              <w:t>19136.53</w:t>
            </w:r>
          </w:p>
        </w:tc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方正仿宋_GBK" w:cs="Times New Roman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z w:val="20"/>
                <w:szCs w:val="20"/>
              </w:rPr>
              <w:t>12602.88</w:t>
            </w:r>
          </w:p>
        </w:tc>
        <w:tc>
          <w:tcPr>
            <w:tcW w:w="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方正仿宋_GBK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宋体" w:hAnsi="宋体" w:eastAsia="方正仿宋_GBK" w:cs="Times New Roman"/>
                <w:sz w:val="20"/>
                <w:szCs w:val="20"/>
                <w:lang w:val="en-US" w:eastAsia="zh-CN"/>
              </w:rPr>
              <w:t>744.61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方正仿宋_GBK" w:cs="Times New Roman"/>
                <w:sz w:val="20"/>
                <w:szCs w:val="20"/>
              </w:rPr>
            </w:pPr>
            <w:r>
              <w:rPr>
                <w:rFonts w:hint="eastAsia" w:ascii="宋体" w:hAnsi="宋体" w:eastAsia="方正仿宋_GBK" w:cs="Times New Roman"/>
                <w:sz w:val="20"/>
                <w:szCs w:val="20"/>
              </w:rPr>
              <w:t>215309.81</w:t>
            </w:r>
          </w:p>
        </w:tc>
      </w:tr>
    </w:tbl>
    <w:p>
      <w:pPr>
        <w:numPr>
          <w:ilvl w:val="0"/>
          <w:numId w:val="0"/>
        </w:numPr>
        <w:rPr>
          <w:rFonts w:hint="default" w:ascii="宋体" w:hAnsi="宋体" w:cs="宋体"/>
          <w:color w:val="000000"/>
          <w:kern w:val="0"/>
          <w:sz w:val="20"/>
          <w:szCs w:val="2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 w:val="20"/>
          <w:szCs w:val="20"/>
          <w:lang w:val="en-US" w:eastAsia="zh-CN"/>
        </w:rPr>
        <w:t>填报说明：1.资产总额＝流动资产＋固定资产＋对外投资/有价证券＋在建工程＋无形资产＋其他资产</w:t>
      </w:r>
    </w:p>
    <w:p>
      <w:pPr>
        <w:numPr>
          <w:ilvl w:val="0"/>
          <w:numId w:val="1"/>
        </w:numPr>
        <w:ind w:firstLine="1000" w:firstLineChars="500"/>
        <w:rPr>
          <w:rFonts w:hint="default" w:ascii="宋体" w:hAnsi="宋体" w:cs="宋体"/>
          <w:color w:val="000000"/>
          <w:kern w:val="0"/>
          <w:sz w:val="20"/>
          <w:szCs w:val="20"/>
        </w:rPr>
      </w:pPr>
      <w:r>
        <w:rPr>
          <w:rFonts w:hint="default" w:ascii="宋体" w:hAnsi="宋体" w:cs="宋体"/>
          <w:color w:val="000000"/>
          <w:kern w:val="0"/>
          <w:sz w:val="20"/>
          <w:szCs w:val="20"/>
        </w:rPr>
        <w:t>固定资产＝房屋构筑物＋车辆＋单价200</w:t>
      </w:r>
      <w:r>
        <w:rPr>
          <w:rFonts w:hint="default" w:ascii="宋体" w:hAnsi="宋体" w:cs="宋体"/>
          <w:color w:val="000000"/>
          <w:kern w:val="0"/>
          <w:sz w:val="20"/>
          <w:szCs w:val="20"/>
          <w:lang w:eastAsia="zh-CN"/>
        </w:rPr>
        <w:t>万</w:t>
      </w:r>
      <w:r>
        <w:rPr>
          <w:rFonts w:hint="default" w:ascii="宋体" w:hAnsi="宋体" w:cs="宋体"/>
          <w:color w:val="000000"/>
          <w:kern w:val="0"/>
          <w:sz w:val="20"/>
          <w:szCs w:val="20"/>
        </w:rPr>
        <w:t>元以上大型设备＋其他固定资产</w:t>
      </w:r>
    </w:p>
    <w:p>
      <w:pPr>
        <w:numPr>
          <w:ilvl w:val="0"/>
          <w:numId w:val="0"/>
        </w:numPr>
        <w:ind w:firstLine="1000" w:firstLineChars="500"/>
        <w:rPr>
          <w:rFonts w:hint="eastAsia" w:ascii="宋体" w:hAnsi="宋体" w:eastAsia="方正黑体_GBK"/>
          <w:sz w:val="30"/>
          <w:szCs w:val="24"/>
        </w:rPr>
      </w:pPr>
      <w:r>
        <w:rPr>
          <w:rFonts w:hint="default" w:ascii="宋体" w:hAnsi="宋体" w:cs="宋体"/>
          <w:color w:val="000000"/>
          <w:kern w:val="0"/>
          <w:sz w:val="20"/>
          <w:szCs w:val="20"/>
          <w:lang w:val="en-US" w:eastAsia="zh-CN"/>
        </w:rPr>
        <w:t>3.</w:t>
      </w:r>
      <w:r>
        <w:rPr>
          <w:rFonts w:hint="default" w:ascii="宋体" w:hAnsi="宋体" w:cs="宋体"/>
          <w:color w:val="000000"/>
          <w:kern w:val="0"/>
          <w:sz w:val="20"/>
          <w:szCs w:val="20"/>
          <w:lang w:eastAsia="zh-CN"/>
        </w:rPr>
        <w:t>填报金额为资产“账面原值”</w:t>
      </w:r>
    </w:p>
    <w:p>
      <w:pPr>
        <w:spacing w:beforeLines="0" w:afterLines="0" w:line="590" w:lineRule="exact"/>
        <w:ind w:firstLine="600"/>
        <w:jc w:val="left"/>
        <w:rPr>
          <w:rFonts w:hint="eastAsia" w:ascii="仿宋" w:hAnsi="仿宋" w:eastAsia="仿宋"/>
          <w:color w:val="auto"/>
          <w:sz w:val="30"/>
          <w:szCs w:val="24"/>
          <w:lang w:val="en-US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A3AD10"/>
    <w:multiLevelType w:val="singleLevel"/>
    <w:tmpl w:val="CBA3AD1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290922"/>
    <w:rsid w:val="0C3216CE"/>
    <w:rsid w:val="0CB25D42"/>
    <w:rsid w:val="1D7A4E8E"/>
    <w:rsid w:val="1F290922"/>
    <w:rsid w:val="2A7B444B"/>
    <w:rsid w:val="45556059"/>
    <w:rsid w:val="4BD82E59"/>
    <w:rsid w:val="4D7378DD"/>
    <w:rsid w:val="4DD71DFE"/>
    <w:rsid w:val="501D0113"/>
    <w:rsid w:val="50AF465E"/>
    <w:rsid w:val="54A02535"/>
    <w:rsid w:val="6BD037A2"/>
    <w:rsid w:val="6E222A4C"/>
    <w:rsid w:val="7EC5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无间隔1"/>
    <w:basedOn w:val="3"/>
    <w:next w:val="1"/>
    <w:unhideWhenUsed/>
    <w:qFormat/>
    <w:uiPriority w:val="0"/>
    <w:rPr>
      <w:rFonts w:hint="eastAsia"/>
      <w:sz w:val="30"/>
      <w:szCs w:val="24"/>
    </w:rPr>
  </w:style>
  <w:style w:type="paragraph" w:styleId="3">
    <w:name w:val="Body Text First Indent"/>
    <w:basedOn w:val="4"/>
    <w:unhideWhenUsed/>
    <w:qFormat/>
    <w:uiPriority w:val="0"/>
    <w:pPr>
      <w:ind w:firstLine="420" w:firstLineChars="100"/>
    </w:pPr>
    <w:rPr>
      <w:rFonts w:hint="eastAsia"/>
      <w:sz w:val="30"/>
      <w:szCs w:val="24"/>
    </w:rPr>
  </w:style>
  <w:style w:type="paragraph" w:styleId="4">
    <w:name w:val="Body Text"/>
    <w:basedOn w:val="1"/>
    <w:next w:val="5"/>
    <w:unhideWhenUsed/>
    <w:qFormat/>
    <w:uiPriority w:val="0"/>
    <w:pPr>
      <w:spacing w:before="93" w:beforeLines="30"/>
    </w:pPr>
    <w:rPr>
      <w:rFonts w:hint="eastAsia" w:ascii="仿宋_GB2312" w:eastAsia="仿宋_GB2312"/>
      <w:sz w:val="30"/>
      <w:szCs w:val="24"/>
    </w:rPr>
  </w:style>
  <w:style w:type="paragraph" w:styleId="5">
    <w:name w:val="toc 5"/>
    <w:basedOn w:val="1"/>
    <w:next w:val="1"/>
    <w:unhideWhenUsed/>
    <w:qFormat/>
    <w:uiPriority w:val="0"/>
    <w:pPr>
      <w:ind w:left="1680" w:leftChars="800"/>
    </w:pPr>
    <w:rPr>
      <w:rFonts w:hint="default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2021-10-11T03:21:00Z</dcterms:created>
  <dc:creator>Administrator</dc:creator>
  <cp:lastModifiedBy>Z</cp:lastModifiedBy>
  <dcterms:modified xsi:type="dcterms:W3CDTF">2021-10-11T12:22:36Z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2A386A541C4D4BD6BD87C0FC1AF65704</vt:lpwstr>
  </property>
</Properties>
</file>