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政府信息公开工作年度报告格式模板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湾碧乡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度政府信息公开工作年度报告根据国家及省、州、县各级关于政府信息公开工作的有关规定编制而成。全文由概述，主动公开政府信息情况，依申请公开政府信息情况，因政府信息公开申请行政复议、提起行政诉讼的情况，政府信息公开机构人员及经费情况，政府信息公开工作存在主要问题及改进措施等六部分组成。本报告中所列数据的统计日期为2019年1月1日—2019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日。主要通过县政府网站公布。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湾碧乡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按照州、县统一部署和上级相关信息公开要求，进一步加强组织领导，健全工作机制，扎实推进政府信息公开工作。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（一）加强组织领导，完善工作机构。按照“主要领导亲自抓，分管领导具体抓，专门机构抓落实”的工作要求，明确了责任分工，根据人员变动和工作需要及时调整了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湾碧乡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政府信息公开工作领导小组成员，由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长任组长，分管领导为副组长，各办服务窗口负责人为成员，党政办公室为政府信息公开工作受理机构，配专人负责信息公开工作的收集、审核和发布。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（二）健全规章制度，落实公开内容。 依据《条例》和大姚县政府信息公开有关文件要求，制定下发了《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湾碧乡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人民政府信息公开制度》，明确了我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用好载体，完善政务公开形式。在进一步坚持和完善政务公开栏这一公开形式的基础上，认真创新政务公开的新载体、新形式，使政务公开的形式呈现灵活多样。一是建设内外网站，推进电子政务建设和网上政务公开。把网站列为公开信息的重要途径，设立政府信息公开栏，将公开信息编制公开目录，逐一上网发布。二是设立投诉信箱、举报、监督电话等，专门接受群众投诉举报。三是有效发挥公示栏、广播和黑板报等传统宣传方法的作用，让不同层次的群众通过不同渠道获取信息，自觉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强化监督，确保政务公开落实。在狠抓内部制约机制的同时，抓好外部监督制约机制的完善，建立健全长效管理机制，形成用制度规范行为、按制度办事、靠制度管人的机制。将政务公开工作与党风廉政建设进行检查、考评，考评结果纳入岗位目标责任制。使政务公开工作更加扎实、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的政府信息公开工作严格按照《条例》和上级部门的总体要求，妥善处理公开与保密的关系，合理界定信息公开范围，做到积极稳妥，及时准确，公开、公正、便民。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（一）主动公开信息数量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在大姚县政府网站共计公开各类政府信息1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7条。其中：规范性文件3条，工作动态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条，财政信息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人事信息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政府工作报告1条。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（二）主动公开的政府信息内容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主动公开的政府信息主要包括政府信息公开、组织机构、政策文件、人事信息、规划计划、工作信息等六大类。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（三）公开形式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在大姚县政府信息公开门户网站阅读本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政府信息公开信息，网址为：www.dayao.gov.cn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三、依申请公开政府信息和不予公开政府信息的情况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根据《条例》规定和县人民政府的要求，设置了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湾碧乡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政府信息依申请公开受理机构和经办人员，直接受理申请人的现场书面申请，妥善地处理公众提出的政府信息公开申请。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共收到政府信息公开申请0件。在答复中，申请公开的政府信息属于可以公开范围的0件，申请公开的政府信息不属于公开范围的0件。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四、政府信息公开的收费及减免情况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执行查询政府公开信息零收费。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五、因政府信息公开申请行政复议、提起行政诉讼情况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未收到有关政府信息公开事务的行政复议申请，没有发生因政府信息公开提起行政诉讼。</w:t>
      </w: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021"/>
        <w:gridCol w:w="6"/>
        <w:gridCol w:w="1375"/>
        <w:gridCol w:w="17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9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2019年，我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政府信息公开工作在上级有关部门的领导下取得了一些成效，但也清醒地认识到，在政府信息公开工作中我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仍然存在一些问题：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对《条例》和州、县政府信息公开工作规定的学习、掌握还不够好；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公开政府信息的主动性不够强；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公开的内容和形式还欠丰富。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将按照《条例》和州、县对政府信息公开的相关要求，继续大力推进政府信息公开工作，主要是做好以下几方面工作：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不断强化对工作人员尤其是基层信息员的理论培训和业务培训。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紧紧围绕实施政府信息公开工作，多渠道、多形式，向社会和广大群众深入宣传政府信息公开工作，努力在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湾碧乡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形成各级干部认真抓好政府信息公开、群众积极关心政府信息公开的社会氛围。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进一步完善政府信息公开各项规章制度，形成以制度管人、以制度谋事的长效机制，进一步规范政府信息公开工作。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6"/>
    <w:rsid w:val="00620E7D"/>
    <w:rsid w:val="00895B46"/>
    <w:rsid w:val="009A4BD2"/>
    <w:rsid w:val="00AD6EC1"/>
    <w:rsid w:val="00D76309"/>
    <w:rsid w:val="012E7FA5"/>
    <w:rsid w:val="014D3262"/>
    <w:rsid w:val="027126EB"/>
    <w:rsid w:val="04216508"/>
    <w:rsid w:val="06F14DEF"/>
    <w:rsid w:val="080859AD"/>
    <w:rsid w:val="0CC4610D"/>
    <w:rsid w:val="0D461BDB"/>
    <w:rsid w:val="0F7F3763"/>
    <w:rsid w:val="112D0E9F"/>
    <w:rsid w:val="12582866"/>
    <w:rsid w:val="12794126"/>
    <w:rsid w:val="14D32EF9"/>
    <w:rsid w:val="18374FCC"/>
    <w:rsid w:val="18A60222"/>
    <w:rsid w:val="18C01044"/>
    <w:rsid w:val="192A42B3"/>
    <w:rsid w:val="1BFB34F9"/>
    <w:rsid w:val="247E6E76"/>
    <w:rsid w:val="26851A82"/>
    <w:rsid w:val="2989052E"/>
    <w:rsid w:val="29B91336"/>
    <w:rsid w:val="2BC70C2F"/>
    <w:rsid w:val="2EF1560E"/>
    <w:rsid w:val="2F4B3AC7"/>
    <w:rsid w:val="31032B44"/>
    <w:rsid w:val="38087A20"/>
    <w:rsid w:val="39913428"/>
    <w:rsid w:val="41D722D9"/>
    <w:rsid w:val="45C35D5B"/>
    <w:rsid w:val="478E327D"/>
    <w:rsid w:val="47D16665"/>
    <w:rsid w:val="48796D94"/>
    <w:rsid w:val="49517ACE"/>
    <w:rsid w:val="4ED80C94"/>
    <w:rsid w:val="4F450259"/>
    <w:rsid w:val="50DA5E38"/>
    <w:rsid w:val="572723C0"/>
    <w:rsid w:val="584E14B3"/>
    <w:rsid w:val="591B180B"/>
    <w:rsid w:val="59D733C2"/>
    <w:rsid w:val="5B2D035E"/>
    <w:rsid w:val="5C4C35AD"/>
    <w:rsid w:val="5D4D35E0"/>
    <w:rsid w:val="5F0D1EEB"/>
    <w:rsid w:val="634127A9"/>
    <w:rsid w:val="68E46D2C"/>
    <w:rsid w:val="694C5C00"/>
    <w:rsid w:val="6D2C3842"/>
    <w:rsid w:val="72BD130E"/>
    <w:rsid w:val="743D13A6"/>
    <w:rsid w:val="75886843"/>
    <w:rsid w:val="76A34B7B"/>
    <w:rsid w:val="790C5468"/>
    <w:rsid w:val="7C120E36"/>
    <w:rsid w:val="7C675D0D"/>
    <w:rsid w:val="7E59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0</TotalTime>
  <ScaleCrop>false</ScaleCrop>
  <LinksUpToDate>false</LinksUpToDate>
  <CharactersWithSpaces>1345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2019-12-19T00:34:00Z</dcterms:created>
  <dc:creator>jbxxc</dc:creator>
  <cp:lastModifiedBy>iyatou_</cp:lastModifiedBy>
  <dcterms:modified xsi:type="dcterms:W3CDTF">2020-02-12T03:07:15Z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