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大姚县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人力资源和社会保障局重大行政执法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决定法制审核实施办法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 xml:space="preserve">第一条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为规范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大姚县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人力资源和社会保障局重大行政执法行为，促进公平、公正执法，维护相对人的合法权益，根据《云南省重大行政执法决定法制审核办法》（云政办函〔2019〕215号）规定，结合工作实际，制定本实施办法。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 xml:space="preserve">第二条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本实施办法所称重大行政执法决定，是指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大姚县人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力资源和社会保障局针对特定的行政管理相对人，以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本部门名义作出的重大、复杂、疑难或者在本辖区范围内有重大社会影响的行政执法行为，主要包括重大行政处罚决定、重大行政许可决定和其他重大行政执法决定。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 xml:space="preserve">第三条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下列情形属于本实施办法规定的重大行政处罚决定：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(一)拟作出责令停业、吊销许可证，对公民处以1000元以上罚款，对个体经济组织处以1000元以上罚款，对法人或者其他组织处以30000元以上罚款，或没收违法所得、没收非法财物价值达到上述金额的决定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(二)拟作出不予行政处罚、减轻行政处罚、从轻行政处罚和从重行政处罚的情节相互冲突，或者有关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股室、中心、大队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和法制机构意见不一致的决定；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(三)拟作出的其他重大、复杂、疑难的行政处罚决定。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第四条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 xml:space="preserve"> 下列情形属于本实施办法规定的重大行政许可决定：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(一)拟作出的不予行政许可决定或者撤销行政许可决定；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(二)拟作出的直接涉及申请人与他人之间有重大利益关系，或者涉及重大公共利益的行政许可决定；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(三)拟作出的其他重大、复杂、疑难的行政许可决定。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 xml:space="preserve">第五条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本实施办法所称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大姚县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人力资源和社会保障局重大行政执法决定法制审核，是指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大姚县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人力资源和社会保障局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政策法规股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，对本部门拟作出的重大行政执法决定进行合法性、适当性审查，并提出书面审核意见或者建议的内部行政执法监督制度。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 xml:space="preserve">第六条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大姚县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人力资源和社会保障局有关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股室、中心、大队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应当在重大行政执法调查终结、拟定处理决定后，及时将案卷移送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政策法规股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进行审核。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对是否属于重大行政执法决定有异议的，由拟作出重大行政执法决定的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股室、中心、大队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会同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政策法规股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协商确定。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第七条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政策法规股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应当自收到案卷之日起5个工作日内出具审核意见；因特殊情况需要延长期限的，经局领导同意可以适当延长，但最长不超过10个工作日。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 xml:space="preserve">第八条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重大行政执法决定法制审核以书面审核为主。必要时，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政策法规股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可以向案件调查人员了解情况，听取意见建议。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 xml:space="preserve">第九条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政策法规股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对下列事项进行审核：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(一)执法主体是否适格；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(二)事实是否清楚，证据是否确凿；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(三)程序是否合法、规范；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(四)所依据的法律、法规、规章是否正确、充分；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(五)定性是否准确；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(六)内容是否适当；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(七)其他需要审核的内容。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第十条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政策法规股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对案卷进行审核后，根据不同情况提出以下相应的书面审核意见，同时将案卷退还并予以登记：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(一)对事实清楚、证据确凿、依据正确、处理适当、程序合法的，出具同意意见；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(二)对事实不清、证据不足的，建议继续调查取证；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(三)对材料或者手续不齐全的，建议补充补齐；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(四)对适用法律不当的，提出纠正意见；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(五)对程序违法的，提出纠正意见；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(六)对超出管辖范围的，提出移送意见；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(七)其他意见建议。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 xml:space="preserve">第十一条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有关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股室、中心、大队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对法制审核意见有异议的，可以要求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政策法规股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重新审核。对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政策法规股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重新审核的意见仍有异议的，可以提请本部门集体研究。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第十二条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 xml:space="preserve"> 重大行政执法决定依法需要进行听证的，按照法律、法规、规章有关规定执行。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 xml:space="preserve">第十三条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有关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股室、中心、大队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应当自作出重大行政执法决定之日起10日内将法律文书送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政策法规股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对撤销立案或者受理决定的，有关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股室、中心、大队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应当自作出撤销决定之日起10日内将法律文书送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政策法规股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 xml:space="preserve">第十四条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  <w:t>大姚县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人力资源和社会保障局应当建立重大行政执法决定法制审核制度，定期对部门重大行政执法决定法制审核情况进行监督检查。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未经法制审核作出重大行政执法决定，经行政复议、行政诉讼被撤销、变更或者确认违法的，按照规定追究有关人员责任。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 xml:space="preserve">第十五条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本实施办法自公布之日起施行。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mYzg2YmFjZTFkYTM5YzgyMWMyNGE5ZDQ0YTU3YTcifQ=="/>
  </w:docVars>
  <w:rsids>
    <w:rsidRoot w:val="3EA939D3"/>
    <w:rsid w:val="33ED373D"/>
    <w:rsid w:val="3EA939D3"/>
    <w:rsid w:val="445E34C5"/>
    <w:rsid w:val="57053B15"/>
    <w:rsid w:val="70B6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cs="Times New Roman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2022-07-26T06:38:00Z</dcterms:created>
  <dc:creator>Administrator</dc:creator>
  <cp:lastModifiedBy>王敏</cp:lastModifiedBy>
  <dcterms:modified xsi:type="dcterms:W3CDTF">2022-08-03T02:13:55Z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49F94584A095406CB22C80790D95C1C0</vt:lpwstr>
  </property>
</Properties>
</file>