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楚雄州政府性债务风险防控工作考核办法（暂行）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为认真贯彻落实党中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央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、国务院，省委、省政府和州委、州政府关于防范化解重大风险攻坚战的决策部署，切实防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控政府性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债务风险工作，进一步明确目标任务，压紧压实工作责任，坚决守住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不发生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系统性区域性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债务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风险底线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，结合我州政府债务风险防控工作的实际，特制定本考核办法。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楚雄州政府性债务风险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防控考核工作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选取法定政府债务偿还、州级平台公司债务偿还情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况两项指标，对十县市进行考核。</w:t>
      </w:r>
    </w:p>
    <w:p>
      <w:pPr>
        <w:spacing w:line="600" w:lineRule="exact"/>
        <w:ind w:firstLine="60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一、法定政府债务风险防控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法定政府债务风险防控指标，反映各县市履行政府债务偿还主体责任情况，监测各县市是否严格按照月度、季度、年度实际到期政府债务本息履行偿还责任。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（一）考核目标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1.确保十县市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按时足额偿还2022年到期政府债务本息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2.按月分县市对法定政府债务偿还情况进行考核。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（二）考核办法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设定分值：50分。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1.十县市按月在到期日7日前足额偿还本息，考核为合格。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十县市按月在到期日7日前未足额偿还本息，或者超过到期日7日前偿还的，考核为不合格。对县市考核采取按月分到期日时点进行考核，十县市全年如有一次考核不合格，视为发生重大政府债务偿还事件，法定政府债务风险防控指标考核为零分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3.州财政局将建立工作台账，结合十县市政府债务本息偿还情况，统计考核数据。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二、州级平台公司债务风险防控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州级平台公司债务风险防控评估指标，反映各县市履行州级平台公司债务偿还主体责任情况，监测各县市是否按时足额偿还州级平台公司到期债务情况。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（一）考核目标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各县市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2022年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足额偿还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州级平台公司</w:t>
      </w:r>
      <w:r>
        <w:rPr>
          <w:rFonts w:ascii="Times New Roman" w:hAnsi="Times New Roman" w:eastAsia="方正仿宋简体" w:cs="Times New Roman"/>
          <w:snapToGrid w:val="0"/>
          <w:kern w:val="0"/>
          <w:sz w:val="32"/>
          <w:szCs w:val="32"/>
        </w:rPr>
        <w:t>债务</w:t>
      </w: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情况。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napToGrid w:val="0"/>
          <w:kern w:val="0"/>
          <w:sz w:val="32"/>
          <w:szCs w:val="32"/>
        </w:rPr>
        <w:t>（二）考核办法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color w:val="000000" w:themeColor="text1"/>
          <w:kern w:val="0"/>
          <w:sz w:val="32"/>
          <w:szCs w:val="32"/>
        </w:rPr>
        <w:t>设定分值：50分。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按季度分县市对偿还州级平台公司债务情况进行考核。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按照季度十县市应偿还州级平台公司债务数（包括逾期数），完成季度应偿还债务数，考核全额得分；按偿还比例得分；未完成偿还数的此项不得分。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偿还比例=季度偿还数÷季度应偿还数。</w:t>
      </w:r>
    </w:p>
    <w:p>
      <w:pPr>
        <w:spacing w:line="600" w:lineRule="exact"/>
        <w:ind w:firstLine="60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三、其他要求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（一）本考评办法用于州级对各县市 “干在实处，走在前列”大比拼工作的考核。考评指标数据，采取我州最新数据测算。</w:t>
      </w:r>
    </w:p>
    <w:p>
      <w:pPr>
        <w:spacing w:line="60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（二）本考评办法由州财政局负责解释，并自印发之日起实施。</w:t>
      </w:r>
    </w:p>
    <w:p>
      <w:pPr>
        <w:spacing w:line="58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ind w:firstLine="601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ind w:firstLine="800" w:firstLineChars="2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附件1：楚雄州2022年债务风险防控目标任务分解表</w:t>
      </w:r>
    </w:p>
    <w:p>
      <w:pPr>
        <w:spacing w:line="580" w:lineRule="exact"/>
        <w:ind w:firstLine="800" w:firstLineChars="2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附件2：考核评分标准及季度监测表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8069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21"/>
    <w:rsid w:val="00021D52"/>
    <w:rsid w:val="00077F3A"/>
    <w:rsid w:val="000A5908"/>
    <w:rsid w:val="000B7553"/>
    <w:rsid w:val="000D5AC9"/>
    <w:rsid w:val="001A0741"/>
    <w:rsid w:val="002006C8"/>
    <w:rsid w:val="00234A5C"/>
    <w:rsid w:val="00246A82"/>
    <w:rsid w:val="0027279B"/>
    <w:rsid w:val="002A214B"/>
    <w:rsid w:val="002E3665"/>
    <w:rsid w:val="002F7621"/>
    <w:rsid w:val="00307CD8"/>
    <w:rsid w:val="0031658D"/>
    <w:rsid w:val="003A0680"/>
    <w:rsid w:val="004237CB"/>
    <w:rsid w:val="00450EF6"/>
    <w:rsid w:val="00494C6E"/>
    <w:rsid w:val="005D3EB1"/>
    <w:rsid w:val="006134AA"/>
    <w:rsid w:val="00645522"/>
    <w:rsid w:val="006B6D6D"/>
    <w:rsid w:val="00780945"/>
    <w:rsid w:val="007C0EA5"/>
    <w:rsid w:val="00880753"/>
    <w:rsid w:val="00907426"/>
    <w:rsid w:val="00920608"/>
    <w:rsid w:val="00971CEC"/>
    <w:rsid w:val="00A075F2"/>
    <w:rsid w:val="00A525A9"/>
    <w:rsid w:val="00AD706A"/>
    <w:rsid w:val="00AE65CA"/>
    <w:rsid w:val="00C25831"/>
    <w:rsid w:val="00C750CE"/>
    <w:rsid w:val="00D13027"/>
    <w:rsid w:val="00D54591"/>
    <w:rsid w:val="00D55791"/>
    <w:rsid w:val="00D739D1"/>
    <w:rsid w:val="00E4074B"/>
    <w:rsid w:val="00E7777D"/>
    <w:rsid w:val="00E8419A"/>
    <w:rsid w:val="00EB0021"/>
    <w:rsid w:val="00ED6C15"/>
    <w:rsid w:val="00F808B6"/>
    <w:rsid w:val="0BF721B2"/>
    <w:rsid w:val="0EA635B4"/>
    <w:rsid w:val="17043531"/>
    <w:rsid w:val="20461D5D"/>
    <w:rsid w:val="37F27A17"/>
    <w:rsid w:val="4AF25A5B"/>
    <w:rsid w:val="4DEF7677"/>
    <w:rsid w:val="53577A97"/>
    <w:rsid w:val="566917E3"/>
    <w:rsid w:val="60C4220D"/>
    <w:rsid w:val="6B37519A"/>
    <w:rsid w:val="72DE6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</Words>
  <Characters>788</Characters>
  <Lines>6</Lines>
  <Paragraphs>1</Paragraphs>
  <TotalTime>25</TotalTime>
  <ScaleCrop>false</ScaleCrop>
  <LinksUpToDate>false</LinksUpToDate>
  <CharactersWithSpaces>925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2022-04-06T18:19:00Z</dcterms:created>
  <dc:creator>Administrator</dc:creator>
  <cp:lastModifiedBy>收文员</cp:lastModifiedBy>
  <cp:lastPrinted>2022-04-13T07:58:35Z</cp:lastPrinted>
  <dcterms:modified xsi:type="dcterms:W3CDTF">2022-04-13T08:01:43Z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